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11" w:rsidRPr="00965A76" w:rsidRDefault="00454311" w:rsidP="00454311">
      <w:pPr>
        <w:pStyle w:val="Title"/>
        <w:bidi/>
        <w:jc w:val="both"/>
        <w:rPr>
          <w:rFonts w:asciiTheme="majorBidi" w:hAnsiTheme="majorBidi" w:cstheme="majorBidi"/>
          <w:sz w:val="24"/>
        </w:rPr>
      </w:pPr>
    </w:p>
    <w:tbl>
      <w:tblPr>
        <w:tblpPr w:leftFromText="180" w:rightFromText="180" w:vertAnchor="text" w:horzAnchor="margin" w:tblpXSpec="center" w:tblpY="75"/>
        <w:tblW w:w="5312" w:type="pct"/>
        <w:tblLayout w:type="fixed"/>
        <w:tblLook w:val="04A0" w:firstRow="1" w:lastRow="0" w:firstColumn="1" w:lastColumn="0" w:noHBand="0" w:noVBand="1"/>
      </w:tblPr>
      <w:tblGrid>
        <w:gridCol w:w="3954"/>
        <w:gridCol w:w="1486"/>
        <w:gridCol w:w="255"/>
        <w:gridCol w:w="5014"/>
      </w:tblGrid>
      <w:tr w:rsidR="00BE5EE4" w:rsidRPr="00965A76" w:rsidTr="00BE5EE4">
        <w:trPr>
          <w:trHeight w:val="113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EE4" w:rsidRPr="00965A76" w:rsidRDefault="00BE5EE4" w:rsidP="00FD131F">
            <w:pPr>
              <w:rPr>
                <w:rFonts w:asciiTheme="majorBidi" w:hAnsiTheme="majorBidi" w:cstheme="majorBidi"/>
                <w:color w:val="000000"/>
              </w:rPr>
            </w:pPr>
            <w:r w:rsidRPr="00965A76">
              <w:rPr>
                <w:rFonts w:asciiTheme="majorBidi" w:hAnsiTheme="majorBidi" w:cstheme="majorBidi"/>
              </w:rPr>
              <w:object w:dxaOrig="12210" w:dyaOrig="1245" w14:anchorId="466791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.75pt;height:50.25pt" o:ole="">
                  <v:imagedata r:id="rId12" o:title=""/>
                </v:shape>
                <o:OLEObject Type="Embed" ProgID="PBrush" ShapeID="_x0000_i1025" DrawAspect="Content" ObjectID="_1647339762" r:id="rId13"/>
              </w:object>
            </w:r>
          </w:p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E5EE4" w:rsidRPr="00965A76" w:rsidTr="00BE5EE4">
        <w:trPr>
          <w:trHeight w:val="222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EE4" w:rsidRPr="00965A76" w:rsidRDefault="00BE5EE4" w:rsidP="00BE5EE4">
            <w:pPr>
              <w:rPr>
                <w:rFonts w:asciiTheme="majorBidi" w:hAnsiTheme="majorBidi" w:cstheme="majorBidi"/>
                <w:b/>
                <w:bCs/>
                <w:color w:val="548235"/>
              </w:rPr>
            </w:pPr>
            <w:r w:rsidRPr="00965A76">
              <w:rPr>
                <w:rFonts w:asciiTheme="majorBidi" w:hAnsiTheme="majorBidi" w:cstheme="majorBidi"/>
                <w:b/>
                <w:bCs/>
                <w:color w:val="548235"/>
              </w:rPr>
              <w:t>Medical Device Sector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EE4" w:rsidRPr="00965A76" w:rsidRDefault="00BE5EE4" w:rsidP="00BE5EE4">
            <w:pPr>
              <w:bidi/>
              <w:rPr>
                <w:rFonts w:asciiTheme="majorBidi" w:hAnsiTheme="majorBidi" w:cstheme="majorBidi"/>
                <w:b/>
                <w:bCs/>
                <w:color w:val="548235"/>
              </w:rPr>
            </w:pPr>
            <w:r w:rsidRPr="00965A76">
              <w:rPr>
                <w:rFonts w:asciiTheme="majorBidi" w:hAnsiTheme="majorBidi" w:cstheme="majorBidi"/>
                <w:b/>
                <w:bCs/>
                <w:color w:val="548235"/>
                <w:rtl/>
              </w:rPr>
              <w:t>قطاع الأجهزة والمنتجات الطبية</w:t>
            </w:r>
          </w:p>
        </w:tc>
      </w:tr>
      <w:tr w:rsidR="00BE5EE4" w:rsidRPr="00965A76" w:rsidTr="00BE5EE4">
        <w:trPr>
          <w:trHeight w:val="484"/>
        </w:trPr>
        <w:tc>
          <w:tcPr>
            <w:tcW w:w="2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EE4" w:rsidRPr="00965A76" w:rsidRDefault="00BE5EE4" w:rsidP="00BE5EE4">
            <w:pPr>
              <w:rPr>
                <w:rFonts w:asciiTheme="majorBidi" w:hAnsiTheme="majorBidi" w:cstheme="majorBidi"/>
                <w:b/>
                <w:bCs/>
                <w:color w:val="548235"/>
                <w:rtl/>
              </w:rPr>
            </w:pPr>
            <w:r w:rsidRPr="00965A76">
              <w:rPr>
                <w:rFonts w:asciiTheme="majorBidi" w:hAnsiTheme="majorBidi" w:cstheme="majorBidi"/>
                <w:b/>
                <w:bCs/>
                <w:color w:val="548235"/>
              </w:rPr>
              <w:t>Surveillance &amp; Biometrics Executive Department</w:t>
            </w:r>
          </w:p>
          <w:p w:rsidR="00BE5EE4" w:rsidRPr="00965A76" w:rsidRDefault="00BE5EE4" w:rsidP="00BE5EE4">
            <w:pPr>
              <w:rPr>
                <w:rFonts w:asciiTheme="majorBidi" w:hAnsiTheme="majorBidi" w:cstheme="majorBidi"/>
                <w:b/>
                <w:bCs/>
                <w:color w:val="548235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EE4" w:rsidRPr="00965A76" w:rsidRDefault="00BE5EE4" w:rsidP="00BE5EE4">
            <w:pPr>
              <w:bidi/>
              <w:rPr>
                <w:rFonts w:asciiTheme="majorBidi" w:hAnsiTheme="majorBidi" w:cstheme="majorBidi"/>
                <w:b/>
                <w:bCs/>
                <w:color w:val="548235"/>
              </w:rPr>
            </w:pPr>
            <w:r w:rsidRPr="00965A76">
              <w:rPr>
                <w:rFonts w:asciiTheme="majorBidi" w:hAnsiTheme="majorBidi" w:cstheme="majorBidi"/>
                <w:b/>
                <w:bCs/>
                <w:color w:val="548235"/>
                <w:rtl/>
              </w:rPr>
              <w:t>الإدارة التنفيذية للرقابة والقياسات الحيوية</w:t>
            </w:r>
          </w:p>
          <w:p w:rsidR="00BE5EE4" w:rsidRPr="00965A76" w:rsidRDefault="00BE5EE4" w:rsidP="00BE5EE4">
            <w:pPr>
              <w:bidi/>
              <w:ind w:left="112"/>
              <w:jc w:val="center"/>
              <w:rPr>
                <w:rFonts w:asciiTheme="majorBidi" w:hAnsiTheme="majorBidi" w:cstheme="majorBidi"/>
                <w:b/>
                <w:bCs/>
                <w:color w:val="548235"/>
                <w:rtl/>
              </w:rPr>
            </w:pPr>
          </w:p>
        </w:tc>
      </w:tr>
      <w:tr w:rsidR="00BE5EE4" w:rsidRPr="00965A76" w:rsidTr="00BE5EE4">
        <w:trPr>
          <w:trHeight w:val="10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EE4" w:rsidRPr="00965A76" w:rsidRDefault="00BE5EE4" w:rsidP="00BE5EE4">
            <w:pPr>
              <w:ind w:left="112"/>
              <w:jc w:val="center"/>
              <w:rPr>
                <w:rFonts w:asciiTheme="majorBidi" w:hAnsiTheme="majorBidi" w:cstheme="majorBidi"/>
                <w:b/>
                <w:bCs/>
                <w:color w:val="548235"/>
                <w:sz w:val="24"/>
                <w:rtl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5EE4" w:rsidRPr="00965A76" w:rsidRDefault="00BE5EE4" w:rsidP="00BE5EE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548235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46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477"/>
      </w:tblGrid>
      <w:tr w:rsidR="00BE5EE4" w:rsidRPr="00965A76" w:rsidTr="00A012D3">
        <w:trPr>
          <w:trHeight w:val="1472"/>
        </w:trPr>
        <w:tc>
          <w:tcPr>
            <w:tcW w:w="10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EE4" w:rsidRPr="00965A76" w:rsidRDefault="00BE5EE4" w:rsidP="00BE5EE4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965A7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Safety</w:t>
            </w:r>
            <w:r w:rsidRPr="00965A7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65A7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Communication</w:t>
            </w:r>
            <w:r w:rsidRPr="00965A7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رسالة سلامة                                                  </w:t>
            </w:r>
            <w:r w:rsidRPr="00965A7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65A7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BE5EE4" w:rsidRPr="00965A76" w:rsidRDefault="00BE5EE4" w:rsidP="00BE5EE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E5EE4" w:rsidRPr="00965A76" w:rsidRDefault="00CD0FAB" w:rsidP="00CD0F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0F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Shut Down Unexpectedly Due to a Premature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0FA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Component Failure</w:t>
            </w:r>
          </w:p>
        </w:tc>
      </w:tr>
      <w:tr w:rsidR="00BE5EE4" w:rsidRPr="00965A76" w:rsidTr="00A012D3">
        <w:trPr>
          <w:trHeight w:val="50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E4" w:rsidRPr="00965A76" w:rsidRDefault="00BE5EE4" w:rsidP="00FD131F">
            <w:pPr>
              <w:tabs>
                <w:tab w:val="right" w:pos="51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965A76">
              <w:rPr>
                <w:rFonts w:asciiTheme="majorBidi" w:hAnsiTheme="majorBidi" w:cstheme="majorBidi"/>
                <w:b/>
                <w:bCs/>
                <w:sz w:val="24"/>
              </w:rPr>
              <w:t>Device/ Product Description: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8A" w:rsidRPr="00965A76" w:rsidRDefault="008B1FF9" w:rsidP="00B736CE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Ventilators </w:t>
            </w:r>
          </w:p>
        </w:tc>
      </w:tr>
      <w:tr w:rsidR="00AC243B" w:rsidRPr="00965A76" w:rsidTr="00E90937">
        <w:trPr>
          <w:trHeight w:val="3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8A" w:rsidRPr="00965A76" w:rsidRDefault="00A8568A" w:rsidP="006A4277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:rsidR="006A4277" w:rsidRPr="00965A76" w:rsidRDefault="006A4277" w:rsidP="006A4277">
            <w:pPr>
              <w:rPr>
                <w:rFonts w:asciiTheme="majorBidi" w:hAnsiTheme="majorBidi" w:cstheme="majorBidi"/>
              </w:rPr>
            </w:pPr>
            <w:r w:rsidRPr="00965A76">
              <w:rPr>
                <w:rFonts w:asciiTheme="majorBidi" w:hAnsiTheme="majorBidi" w:cstheme="majorBidi"/>
                <w:b/>
                <w:bCs/>
                <w:sz w:val="24"/>
              </w:rPr>
              <w:t>Brand:</w:t>
            </w:r>
          </w:p>
          <w:p w:rsidR="00AC243B" w:rsidRPr="00965A76" w:rsidRDefault="00AC243B" w:rsidP="00BE5EE4">
            <w:pPr>
              <w:tabs>
                <w:tab w:val="right" w:pos="51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8A" w:rsidRPr="00965A76" w:rsidRDefault="00CD0FAB" w:rsidP="002E08BD">
            <w:pPr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="Calibri" w:hAnsi="Calibri"/>
                <w:color w:val="000000"/>
                <w:szCs w:val="20"/>
              </w:rPr>
              <w:t>V60</w:t>
            </w:r>
            <w:r w:rsidR="00C652E8">
              <w:rPr>
                <w:rFonts w:ascii="Calibri" w:hAnsi="Calibri"/>
                <w:color w:val="000000"/>
                <w:szCs w:val="20"/>
              </w:rPr>
              <w:t xml:space="preserve"> </w:t>
            </w:r>
          </w:p>
        </w:tc>
      </w:tr>
      <w:tr w:rsidR="00AC243B" w:rsidRPr="00965A76" w:rsidTr="004251CE">
        <w:trPr>
          <w:trHeight w:val="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8A" w:rsidRPr="00965A76" w:rsidRDefault="00A8568A" w:rsidP="006A4277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:rsidR="006A4277" w:rsidRPr="00965A76" w:rsidRDefault="00D5789E" w:rsidP="006A4277">
            <w:pPr>
              <w:rPr>
                <w:rFonts w:asciiTheme="majorBidi" w:hAnsiTheme="majorBidi" w:cstheme="majorBidi"/>
              </w:rPr>
            </w:pPr>
            <w:r w:rsidRPr="00965A76">
              <w:rPr>
                <w:rFonts w:asciiTheme="majorBidi" w:hAnsiTheme="majorBidi" w:cstheme="majorBidi"/>
                <w:b/>
                <w:bCs/>
                <w:sz w:val="24"/>
              </w:rPr>
              <w:t>Affected product</w:t>
            </w:r>
            <w:r w:rsidR="006A4277" w:rsidRPr="00965A76">
              <w:rPr>
                <w:rFonts w:asciiTheme="majorBidi" w:hAnsiTheme="majorBidi" w:cstheme="majorBidi"/>
                <w:b/>
                <w:bCs/>
                <w:sz w:val="24"/>
              </w:rPr>
              <w:t>:</w:t>
            </w:r>
          </w:p>
          <w:p w:rsidR="00AC243B" w:rsidRPr="00965A76" w:rsidRDefault="00AC243B" w:rsidP="006A4277">
            <w:pPr>
              <w:tabs>
                <w:tab w:val="right" w:pos="51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bookmarkStart w:id="0" w:name="_GoBack"/>
        <w:bookmarkStart w:id="1" w:name="_MON_1647339738"/>
        <w:bookmarkEnd w:id="1"/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69" w:rsidRPr="00965A76" w:rsidRDefault="00153F06" w:rsidP="00155EC7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object w:dxaOrig="1551" w:dyaOrig="991">
                <v:shape id="_x0000_i1032" type="#_x0000_t75" style="width:77.25pt;height:49.5pt" o:ole="">
                  <v:imagedata r:id="rId14" o:title=""/>
                </v:shape>
                <o:OLEObject Type="Embed" ProgID="Excel.Sheet.12" ShapeID="_x0000_i1032" DrawAspect="Icon" ObjectID="_1647339763" r:id="rId15"/>
              </w:object>
            </w:r>
            <w:bookmarkEnd w:id="0"/>
          </w:p>
        </w:tc>
      </w:tr>
      <w:tr w:rsidR="00BE5EE4" w:rsidRPr="00965A76" w:rsidTr="00A012D3">
        <w:trPr>
          <w:trHeight w:val="4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E4" w:rsidRPr="00965A76" w:rsidRDefault="005A7C0C" w:rsidP="00BE5EE4">
            <w:pPr>
              <w:tabs>
                <w:tab w:val="right" w:pos="51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65A76">
              <w:rPr>
                <w:rFonts w:asciiTheme="majorBidi" w:hAnsiTheme="majorBidi" w:cstheme="majorBidi"/>
                <w:b/>
                <w:bCs/>
                <w:sz w:val="24"/>
              </w:rPr>
              <w:t>Manufacturer</w:t>
            </w:r>
            <w:r w:rsidR="00BE5EE4" w:rsidRPr="00965A76">
              <w:rPr>
                <w:rFonts w:asciiTheme="majorBidi" w:hAnsiTheme="majorBidi" w:cstheme="majorBidi"/>
                <w:b/>
                <w:bCs/>
                <w:sz w:val="24"/>
              </w:rPr>
              <w:t>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DE" w:rsidRPr="00965A76" w:rsidRDefault="007046DE" w:rsidP="00D5789E">
            <w:pPr>
              <w:rPr>
                <w:rFonts w:asciiTheme="majorBidi" w:hAnsiTheme="majorBidi" w:cstheme="majorBidi"/>
                <w:sz w:val="24"/>
                <w:lang w:val="en-GB"/>
              </w:rPr>
            </w:pPr>
          </w:p>
          <w:p w:rsidR="007046DE" w:rsidRDefault="00CD0FAB" w:rsidP="00D5789E">
            <w:r>
              <w:t xml:space="preserve">PHILIPS </w:t>
            </w:r>
            <w:proofErr w:type="spellStart"/>
            <w:r>
              <w:t>Theraputic</w:t>
            </w:r>
            <w:proofErr w:type="spellEnd"/>
            <w:r>
              <w:t xml:space="preserve"> Care</w:t>
            </w:r>
          </w:p>
          <w:p w:rsidR="006C7E1F" w:rsidRPr="00965A76" w:rsidRDefault="006C7E1F" w:rsidP="00D5789E">
            <w:pPr>
              <w:rPr>
                <w:rFonts w:asciiTheme="majorBidi" w:hAnsiTheme="majorBidi" w:cstheme="majorBidi"/>
                <w:sz w:val="24"/>
                <w:lang w:val="en-GB"/>
              </w:rPr>
            </w:pPr>
          </w:p>
        </w:tc>
      </w:tr>
      <w:tr w:rsidR="00BE5EE4" w:rsidRPr="00965A76" w:rsidTr="00A012D3">
        <w:trPr>
          <w:trHeight w:val="43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E4" w:rsidRPr="00965A76" w:rsidRDefault="00BE5EE4" w:rsidP="00BE5EE4">
            <w:pPr>
              <w:tabs>
                <w:tab w:val="right" w:pos="51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965A76">
              <w:rPr>
                <w:rFonts w:asciiTheme="majorBidi" w:hAnsiTheme="majorBidi" w:cstheme="majorBidi"/>
                <w:b/>
                <w:bCs/>
                <w:sz w:val="24"/>
              </w:rPr>
              <w:t>Problem: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D3" w:rsidRPr="00965A76" w:rsidRDefault="00A012D3" w:rsidP="00A012D3">
            <w:pPr>
              <w:rPr>
                <w:rFonts w:asciiTheme="majorBidi" w:hAnsiTheme="majorBidi" w:cstheme="majorBidi"/>
                <w:color w:val="000000"/>
                <w:sz w:val="24"/>
              </w:rPr>
            </w:pPr>
          </w:p>
          <w:p w:rsidR="00935261" w:rsidRPr="00935261" w:rsidRDefault="00935261" w:rsidP="00935261">
            <w:pPr>
              <w:rPr>
                <w:rFonts w:asciiTheme="majorBidi" w:hAnsiTheme="majorBidi" w:cstheme="majorBidi"/>
                <w:color w:val="000000"/>
                <w:sz w:val="24"/>
              </w:rPr>
            </w:pP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A solder connection on the Power Management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printed circuit board assembly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(PCBA) of affected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V60 ventilators is subject to 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solder connection failure. This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solder joint connects a component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(designated as R31) to the PCBA.</w:t>
            </w:r>
          </w:p>
          <w:p w:rsidR="00935261" w:rsidRPr="00935261" w:rsidRDefault="00935261" w:rsidP="00935261">
            <w:pPr>
              <w:rPr>
                <w:rFonts w:asciiTheme="majorBidi" w:hAnsiTheme="majorBidi" w:cstheme="majorBidi"/>
                <w:color w:val="000000"/>
                <w:sz w:val="24"/>
              </w:rPr>
            </w:pP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In the most common failure mode of the solder joint 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(estimated to be less than 1 in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650 of affected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devices), the failure will cause the bl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ower to lose power, spool down,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and trigger a visual and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audible High Priority “Chec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k Vent” alarm (See Figure 1) to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alert clinicians to switch the patient to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alternative ve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ntilation. This failure mode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is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referred</w:t>
            </w:r>
            <w:proofErr w:type="gramEnd"/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 to as an “open failure.”</w:t>
            </w:r>
          </w:p>
          <w:p w:rsidR="00595AB7" w:rsidRDefault="00935261" w:rsidP="00935261">
            <w:pPr>
              <w:rPr>
                <w:rFonts w:asciiTheme="majorBidi" w:hAnsiTheme="majorBidi" w:cstheme="majorBidi"/>
                <w:color w:val="000000"/>
                <w:sz w:val="24"/>
              </w:rPr>
            </w:pP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A significantly less common failure mode </w:t>
            </w:r>
            <w:proofErr w:type="gramStart"/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was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identified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in which the solder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experiences an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intermittent connection. The intermitte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nt connection disrupts expected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operation and triggers the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unit to shutdown unexpec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tedly. Should this intermittent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failure occur, the ventilator </w:t>
            </w:r>
            <w:proofErr w:type="gramStart"/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will</w:t>
            </w:r>
            <w:proofErr w:type="gramEnd"/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 shut down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without issuing an alarm.</w:t>
            </w:r>
          </w:p>
          <w:p w:rsidR="00935261" w:rsidRPr="00935261" w:rsidRDefault="00935261" w:rsidP="00935261">
            <w:pPr>
              <w:rPr>
                <w:rFonts w:asciiTheme="majorBidi" w:hAnsiTheme="majorBidi" w:cstheme="majorBidi"/>
                <w:color w:val="000000"/>
                <w:sz w:val="24"/>
              </w:rPr>
            </w:pP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In the event that the open failure mode occurs, the ven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tilator will cease to ventilate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the patient, but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will appropriately alarm to notify clinicians of the need for alternative ventilation. This may lead to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moderate patient hypoxemia (reduced blood oxygen level).</w:t>
            </w:r>
          </w:p>
          <w:p w:rsidR="00935261" w:rsidRDefault="00935261" w:rsidP="00935261">
            <w:pPr>
              <w:rPr>
                <w:rFonts w:asciiTheme="majorBidi" w:hAnsiTheme="majorBidi" w:cstheme="majorBidi"/>
                <w:color w:val="000000"/>
                <w:sz w:val="24"/>
              </w:rPr>
            </w:pP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In rare cases of an intermittent solder joint failu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re, an unexpected shutdown will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occur ceasing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ventilation without appropriate alarming and indication. Clinicians </w:t>
            </w:r>
            <w:proofErr w:type="gramStart"/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will not be alerted</w:t>
            </w:r>
            <w:proofErr w:type="gramEnd"/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 xml:space="preserve"> to the shut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down by the V60 ventilator alarm, which could le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ad to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</w:rPr>
              <w:t>hypercarbia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(excess blood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carbon-dioxide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level) and severe hypoxemia if the loss of ventil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ation is not otherwise promptly </w:t>
            </w:r>
            <w:r w:rsidRPr="00935261">
              <w:rPr>
                <w:rFonts w:asciiTheme="majorBidi" w:hAnsiTheme="majorBidi" w:cstheme="majorBidi"/>
                <w:color w:val="000000"/>
                <w:sz w:val="24"/>
              </w:rPr>
              <w:t>recognized.</w:t>
            </w:r>
          </w:p>
          <w:p w:rsidR="00935261" w:rsidRPr="00595AB7" w:rsidRDefault="00935261" w:rsidP="00935261">
            <w:pPr>
              <w:rPr>
                <w:rFonts w:asciiTheme="majorBidi" w:hAnsiTheme="majorBidi" w:cstheme="majorBidi"/>
                <w:color w:val="000000"/>
                <w:sz w:val="24"/>
              </w:rPr>
            </w:pPr>
          </w:p>
        </w:tc>
      </w:tr>
      <w:tr w:rsidR="00BE5EE4" w:rsidRPr="00965A76" w:rsidTr="00A012D3">
        <w:trPr>
          <w:trHeight w:val="62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E4" w:rsidRPr="00965A76" w:rsidRDefault="00BE5EE4" w:rsidP="00BE5EE4">
            <w:pPr>
              <w:tabs>
                <w:tab w:val="right" w:pos="518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965A76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Recommendation/Actions: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74" w:rsidRDefault="000C4974" w:rsidP="00A25B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  <w:p w:rsidR="003E1265" w:rsidRDefault="003E1265" w:rsidP="003E126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Review this notice and ensure that affected personnel are aware of the contents. 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F</w:t>
            </w: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ollow directions in the operator’s manual and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in the</w:t>
            </w: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 xml:space="preserve"> Field Safety Notice </w:t>
            </w:r>
            <w:proofErr w:type="gramStart"/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to further reduce</w:t>
            </w:r>
            <w:proofErr w:type="gramEnd"/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 xml:space="preserve"> any risk associated with this potential failure. From the Operator’s Manual: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152"/>
              <w:rPr>
                <w:rFonts w:asciiTheme="majorBidi" w:hAnsiTheme="majorBidi" w:cstheme="majorBidi"/>
                <w:color w:val="000000"/>
                <w:sz w:val="24"/>
              </w:rPr>
            </w:pP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Use an external O2 monitor/analyzer and set the ventilator alarm thresholds appropriately.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152"/>
              <w:rPr>
                <w:rFonts w:asciiTheme="majorBidi" w:hAnsiTheme="majorBidi" w:cstheme="majorBidi"/>
                <w:color w:val="000000"/>
                <w:sz w:val="24"/>
              </w:rPr>
            </w:pP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Promptly attend to all alarms presented by the ventilator.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152"/>
              <w:rPr>
                <w:rFonts w:asciiTheme="majorBidi" w:hAnsiTheme="majorBidi" w:cstheme="majorBidi"/>
                <w:color w:val="000000"/>
                <w:sz w:val="24"/>
              </w:rPr>
            </w:pP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Ensure that an alternative means of ventilation is available whenever the ventilator is in use.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color w:val="000000"/>
                <w:sz w:val="24"/>
              </w:rPr>
            </w:pP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Additional directions: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7"/>
              </w:numPr>
              <w:ind w:left="1152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D</w:t>
            </w: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 xml:space="preserve">etermine whether the V60 ventilator </w:t>
            </w:r>
            <w:proofErr w:type="gramStart"/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is affected</w:t>
            </w:r>
            <w:proofErr w:type="gramEnd"/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 xml:space="preserve"> by this correction without interrupting therapy.</w:t>
            </w:r>
          </w:p>
          <w:p w:rsidR="003E1265" w:rsidRPr="003E1265" w:rsidRDefault="003E1265" w:rsidP="003E1265">
            <w:pPr>
              <w:pStyle w:val="ListParagraph"/>
              <w:numPr>
                <w:ilvl w:val="0"/>
                <w:numId w:val="17"/>
              </w:numPr>
              <w:ind w:left="1152"/>
              <w:rPr>
                <w:rFonts w:asciiTheme="majorBidi" w:hAnsiTheme="majorBidi" w:cstheme="majorBidi"/>
                <w:color w:val="000000"/>
                <w:sz w:val="24"/>
              </w:rPr>
            </w:pP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If a V60 ventilator experiences a shutdown, disconnect the patient and immediately start ventilation with an alternate device. Contact a local customer service contact to report the failure and to schedule corrective maintenance</w:t>
            </w:r>
            <w:r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Pr="003E1265">
              <w:rPr>
                <w:rFonts w:asciiTheme="majorBidi" w:hAnsiTheme="majorBidi" w:cstheme="majorBidi"/>
                <w:color w:val="000000"/>
                <w:sz w:val="24"/>
              </w:rPr>
              <w:t>to replace the Power Management PCBA at a time when the ventilator will not be in use.</w:t>
            </w:r>
          </w:p>
          <w:p w:rsidR="003E1265" w:rsidRDefault="003E1265" w:rsidP="003E1265">
            <w:pPr>
              <w:rPr>
                <w:rFonts w:asciiTheme="majorBidi" w:hAnsiTheme="majorBidi" w:cstheme="majorBidi"/>
                <w:color w:val="000000"/>
                <w:sz w:val="24"/>
              </w:rPr>
            </w:pPr>
          </w:p>
          <w:p w:rsidR="00D5789E" w:rsidRPr="003E1265" w:rsidRDefault="00D5789E" w:rsidP="003E1265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  <w:p w:rsidR="00D5789E" w:rsidRPr="00965A76" w:rsidRDefault="00D5789E" w:rsidP="00D5789E">
            <w:pPr>
              <w:rPr>
                <w:rStyle w:val="Hyperlink"/>
                <w:rFonts w:asciiTheme="majorBidi" w:hAnsiTheme="majorBidi" w:cstheme="majorBidi"/>
                <w:sz w:val="24"/>
              </w:rPr>
            </w:pPr>
            <w:r w:rsidRPr="00965A76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For more information, Please click </w:t>
            </w:r>
            <w:hyperlink r:id="rId16" w:history="1">
              <w:r w:rsidRPr="00965A76">
                <w:rPr>
                  <w:rStyle w:val="Hyperlink"/>
                  <w:rFonts w:asciiTheme="majorBidi" w:hAnsiTheme="majorBidi" w:cstheme="majorBidi"/>
                  <w:sz w:val="24"/>
                </w:rPr>
                <w:t>here.</w:t>
              </w:r>
            </w:hyperlink>
          </w:p>
          <w:p w:rsidR="00D5789E" w:rsidRPr="00965A76" w:rsidRDefault="00D5789E" w:rsidP="00D5789E">
            <w:pPr>
              <w:rPr>
                <w:rStyle w:val="Hyperlink"/>
                <w:rFonts w:asciiTheme="majorBidi" w:hAnsiTheme="majorBidi" w:cstheme="majorBidi"/>
                <w:sz w:val="24"/>
              </w:rPr>
            </w:pPr>
          </w:p>
          <w:p w:rsidR="00D5789E" w:rsidRPr="00965A76" w:rsidRDefault="00D5789E" w:rsidP="00D5789E">
            <w:pPr>
              <w:rPr>
                <w:rFonts w:asciiTheme="majorBidi" w:hAnsiTheme="majorBidi" w:cstheme="majorBidi"/>
                <w:sz w:val="24"/>
              </w:rPr>
            </w:pPr>
            <w:r w:rsidRPr="00965A76">
              <w:rPr>
                <w:rFonts w:asciiTheme="majorBidi" w:hAnsiTheme="majorBidi" w:cstheme="majorBidi"/>
                <w:sz w:val="24"/>
              </w:rPr>
              <w:t>If you think you had a problem with your device or a device your patient uses, please do not hesitate to report the problem to SFDA through:</w:t>
            </w:r>
          </w:p>
          <w:p w:rsidR="00D5789E" w:rsidRPr="00965A76" w:rsidRDefault="00153F06" w:rsidP="00D5789E">
            <w:pPr>
              <w:rPr>
                <w:rFonts w:asciiTheme="majorBidi" w:hAnsiTheme="majorBidi" w:cstheme="majorBidi"/>
                <w:sz w:val="24"/>
              </w:rPr>
            </w:pPr>
            <w:hyperlink r:id="rId17" w:history="1">
              <w:r w:rsidR="00D5789E" w:rsidRPr="00965A76">
                <w:rPr>
                  <w:rStyle w:val="Hyperlink"/>
                  <w:rFonts w:asciiTheme="majorBidi" w:hAnsiTheme="majorBidi" w:cstheme="majorBidi"/>
                  <w:sz w:val="24"/>
                </w:rPr>
                <w:t>NCMDR</w:t>
              </w:r>
            </w:hyperlink>
          </w:p>
          <w:p w:rsidR="00D5789E" w:rsidRPr="00965A76" w:rsidRDefault="00153F06" w:rsidP="00D5789E">
            <w:pPr>
              <w:rPr>
                <w:rFonts w:asciiTheme="majorBidi" w:hAnsiTheme="majorBidi" w:cstheme="majorBidi"/>
                <w:sz w:val="24"/>
              </w:rPr>
            </w:pPr>
            <w:hyperlink r:id="rId18" w:history="1">
              <w:r w:rsidR="00D5789E" w:rsidRPr="00965A76">
                <w:rPr>
                  <w:rStyle w:val="Hyperlink"/>
                  <w:rFonts w:asciiTheme="majorBidi" w:hAnsiTheme="majorBidi" w:cstheme="majorBidi"/>
                  <w:sz w:val="24"/>
                </w:rPr>
                <w:t>Vigilance system</w:t>
              </w:r>
            </w:hyperlink>
          </w:p>
          <w:p w:rsidR="00D5789E" w:rsidRPr="00965A76" w:rsidRDefault="00D5789E" w:rsidP="00D5789E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65A76">
              <w:rPr>
                <w:rFonts w:asciiTheme="majorBidi" w:hAnsiTheme="majorBidi" w:cstheme="majorBidi"/>
                <w:sz w:val="24"/>
              </w:rPr>
              <w:t>19999 unified call center</w:t>
            </w:r>
          </w:p>
          <w:p w:rsidR="00F85448" w:rsidRPr="00965A76" w:rsidRDefault="00F85448" w:rsidP="00191B24">
            <w:pPr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156E51" w:rsidRPr="0091236A" w:rsidTr="009055DE">
        <w:trPr>
          <w:trHeight w:val="147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51" w:rsidRPr="00E62891" w:rsidRDefault="00156E51" w:rsidP="009055DE">
            <w:pPr>
              <w:tabs>
                <w:tab w:val="right" w:pos="518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11FF3">
              <w:rPr>
                <w:rFonts w:asciiTheme="majorBidi" w:hAnsiTheme="majorBidi" w:cstheme="majorBidi"/>
                <w:b/>
                <w:bCs/>
                <w:sz w:val="24"/>
              </w:rPr>
              <w:t>Devices/Products photo: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1" w:rsidRPr="0091236A" w:rsidRDefault="00830419" w:rsidP="009055DE">
            <w:pPr>
              <w:tabs>
                <w:tab w:val="right" w:pos="51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object w:dxaOrig="3855" w:dyaOrig="3405">
                <v:shape id="_x0000_i1026" type="#_x0000_t75" style="width:192.75pt;height:170.25pt" o:ole="">
                  <v:imagedata r:id="rId19" o:title=""/>
                </v:shape>
                <o:OLEObject Type="Embed" ProgID="PBrush" ShapeID="_x0000_i1026" DrawAspect="Content" ObjectID="_1647339764" r:id="rId20"/>
              </w:object>
            </w:r>
          </w:p>
        </w:tc>
      </w:tr>
      <w:tr w:rsidR="00156E51" w:rsidRPr="00E62891" w:rsidTr="009055DE">
        <w:trPr>
          <w:trHeight w:val="186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1" w:rsidRPr="00E62891" w:rsidRDefault="00156E51" w:rsidP="009055DE">
            <w:pPr>
              <w:tabs>
                <w:tab w:val="right" w:pos="5184"/>
              </w:tabs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4"/>
              </w:rPr>
            </w:pPr>
            <w:r w:rsidRPr="00C11FF3">
              <w:rPr>
                <w:rFonts w:asciiTheme="majorBidi" w:hAnsiTheme="majorBidi" w:cstheme="majorBidi"/>
                <w:b/>
                <w:bCs/>
                <w:sz w:val="24"/>
              </w:rPr>
              <w:t>Authorized Representative Details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30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5625"/>
            </w:tblGrid>
            <w:tr w:rsidR="00156E51" w:rsidRPr="00E62891" w:rsidTr="009055DE">
              <w:trPr>
                <w:trHeight w:val="491"/>
              </w:trPr>
              <w:tc>
                <w:tcPr>
                  <w:tcW w:w="2682" w:type="dxa"/>
                  <w:shd w:val="clear" w:color="auto" w:fill="D9D9D9" w:themeFill="background1" w:themeFillShade="D9"/>
                  <w:vAlign w:val="center"/>
                </w:tcPr>
                <w:p w:rsidR="00156E51" w:rsidRPr="00E62891" w:rsidRDefault="00156E51" w:rsidP="00153F06">
                  <w:pPr>
                    <w:framePr w:hSpace="180" w:wrap="around" w:vAnchor="text" w:hAnchor="margin" w:y="2646"/>
                    <w:ind w:left="-36"/>
                    <w:rPr>
                      <w:rFonts w:asciiTheme="majorBidi" w:hAnsiTheme="majorBidi" w:cstheme="majorBidi"/>
                      <w:sz w:val="24"/>
                    </w:rPr>
                  </w:pPr>
                  <w:r w:rsidRPr="00E62891">
                    <w:rPr>
                      <w:rFonts w:asciiTheme="majorBidi" w:hAnsiTheme="majorBidi" w:cstheme="majorBidi"/>
                      <w:sz w:val="24"/>
                    </w:rPr>
                    <w:t>AR name:</w:t>
                  </w:r>
                </w:p>
              </w:tc>
              <w:tc>
                <w:tcPr>
                  <w:tcW w:w="5625" w:type="dxa"/>
                  <w:vAlign w:val="center"/>
                </w:tcPr>
                <w:p w:rsidR="00156E51" w:rsidRPr="00A05360" w:rsidRDefault="009D78A9" w:rsidP="00153F06">
                  <w:pPr>
                    <w:framePr w:hSpace="180" w:wrap="around" w:vAnchor="text" w:hAnchor="margin" w:y="2646"/>
                    <w:rPr>
                      <w:rFonts w:asciiTheme="majorBidi" w:hAnsiTheme="majorBidi" w:cstheme="majorBidi"/>
                      <w:sz w:val="24"/>
                    </w:rPr>
                  </w:pPr>
                  <w:r w:rsidRPr="009D78A9">
                    <w:rPr>
                      <w:rFonts w:asciiTheme="majorBidi" w:hAnsiTheme="majorBidi" w:cstheme="majorBidi"/>
                      <w:sz w:val="24"/>
                    </w:rPr>
                    <w:t>Philips Healthcare Saudi Arabia Ltd.</w:t>
                  </w:r>
                </w:p>
              </w:tc>
            </w:tr>
            <w:tr w:rsidR="00156E51" w:rsidRPr="00E62891" w:rsidTr="009055DE">
              <w:trPr>
                <w:trHeight w:val="480"/>
              </w:trPr>
              <w:tc>
                <w:tcPr>
                  <w:tcW w:w="2682" w:type="dxa"/>
                  <w:shd w:val="clear" w:color="auto" w:fill="D9D9D9" w:themeFill="background1" w:themeFillShade="D9"/>
                  <w:vAlign w:val="center"/>
                </w:tcPr>
                <w:p w:rsidR="00156E51" w:rsidRPr="00E62891" w:rsidRDefault="00156E51" w:rsidP="00153F06">
                  <w:pPr>
                    <w:framePr w:hSpace="180" w:wrap="around" w:vAnchor="text" w:hAnchor="margin" w:y="2646"/>
                    <w:ind w:left="-36"/>
                    <w:rPr>
                      <w:rFonts w:asciiTheme="majorBidi" w:hAnsiTheme="majorBidi" w:cstheme="majorBidi"/>
                      <w:sz w:val="24"/>
                    </w:rPr>
                  </w:pPr>
                  <w:r w:rsidRPr="00C11FF3">
                    <w:rPr>
                      <w:rFonts w:asciiTheme="majorBidi" w:hAnsiTheme="majorBidi" w:cstheme="majorBidi"/>
                      <w:sz w:val="24"/>
                    </w:rPr>
                    <w:t>Assigned Contact Person:</w:t>
                  </w:r>
                </w:p>
              </w:tc>
              <w:tc>
                <w:tcPr>
                  <w:tcW w:w="5625" w:type="dxa"/>
                  <w:vAlign w:val="center"/>
                </w:tcPr>
                <w:p w:rsidR="00156E51" w:rsidRPr="00E62891" w:rsidRDefault="009D78A9" w:rsidP="00153F06">
                  <w:pPr>
                    <w:framePr w:hSpace="180" w:wrap="around" w:vAnchor="text" w:hAnchor="margin" w:y="2646"/>
                    <w:rPr>
                      <w:rFonts w:asciiTheme="majorBidi" w:hAnsiTheme="majorBidi" w:cstheme="majorBidi"/>
                      <w:sz w:val="24"/>
                    </w:rPr>
                  </w:pPr>
                  <w:r w:rsidRPr="009D78A9">
                    <w:rPr>
                      <w:rFonts w:asciiTheme="majorBidi" w:hAnsiTheme="majorBidi" w:cstheme="majorBidi"/>
                      <w:sz w:val="24"/>
                    </w:rPr>
                    <w:t>Alawi AlKhadhrawi</w:t>
                  </w:r>
                </w:p>
              </w:tc>
            </w:tr>
            <w:tr w:rsidR="00156E51" w:rsidRPr="00E62891" w:rsidTr="009055DE">
              <w:trPr>
                <w:trHeight w:val="480"/>
              </w:trPr>
              <w:tc>
                <w:tcPr>
                  <w:tcW w:w="2682" w:type="dxa"/>
                  <w:shd w:val="clear" w:color="auto" w:fill="D9D9D9" w:themeFill="background1" w:themeFillShade="D9"/>
                  <w:vAlign w:val="center"/>
                </w:tcPr>
                <w:p w:rsidR="00156E51" w:rsidRPr="00E62891" w:rsidRDefault="00156E51" w:rsidP="00153F06">
                  <w:pPr>
                    <w:framePr w:hSpace="180" w:wrap="around" w:vAnchor="text" w:hAnchor="margin" w:y="2646"/>
                    <w:ind w:left="-36"/>
                    <w:rPr>
                      <w:rFonts w:asciiTheme="majorBidi" w:hAnsiTheme="majorBidi" w:cstheme="majorBidi"/>
                      <w:sz w:val="24"/>
                    </w:rPr>
                  </w:pPr>
                  <w:r w:rsidRPr="00E62891">
                    <w:rPr>
                      <w:rFonts w:asciiTheme="majorBidi" w:hAnsiTheme="majorBidi" w:cstheme="majorBidi"/>
                      <w:sz w:val="24"/>
                    </w:rPr>
                    <w:t>Mobile/Phone:</w:t>
                  </w:r>
                </w:p>
              </w:tc>
              <w:tc>
                <w:tcPr>
                  <w:tcW w:w="5625" w:type="dxa"/>
                  <w:vAlign w:val="center"/>
                </w:tcPr>
                <w:p w:rsidR="00156E51" w:rsidRPr="0091236A" w:rsidRDefault="009D78A9" w:rsidP="00153F06">
                  <w:pPr>
                    <w:framePr w:hSpace="180" w:wrap="around" w:vAnchor="text" w:hAnchor="margin" w:y="2646"/>
                    <w:rPr>
                      <w:rFonts w:asciiTheme="majorBidi" w:hAnsiTheme="majorBidi" w:cstheme="majorBidi"/>
                      <w:sz w:val="24"/>
                    </w:rPr>
                  </w:pPr>
                  <w:r w:rsidRPr="009D78A9">
                    <w:rPr>
                      <w:rFonts w:asciiTheme="majorBidi" w:hAnsiTheme="majorBidi" w:cstheme="majorBidi"/>
                      <w:sz w:val="24"/>
                    </w:rPr>
                    <w:t>0503879145</w:t>
                  </w:r>
                </w:p>
              </w:tc>
            </w:tr>
            <w:tr w:rsidR="00156E51" w:rsidRPr="00E62891" w:rsidTr="009055DE">
              <w:trPr>
                <w:trHeight w:val="622"/>
              </w:trPr>
              <w:tc>
                <w:tcPr>
                  <w:tcW w:w="2682" w:type="dxa"/>
                  <w:shd w:val="clear" w:color="auto" w:fill="D9D9D9" w:themeFill="background1" w:themeFillShade="D9"/>
                  <w:vAlign w:val="center"/>
                </w:tcPr>
                <w:p w:rsidR="00156E51" w:rsidRPr="00E62891" w:rsidRDefault="00156E51" w:rsidP="00153F06">
                  <w:pPr>
                    <w:framePr w:hSpace="180" w:wrap="around" w:vAnchor="text" w:hAnchor="margin" w:y="2646"/>
                    <w:ind w:left="-36"/>
                    <w:rPr>
                      <w:rFonts w:asciiTheme="majorBidi" w:hAnsiTheme="majorBidi" w:cstheme="majorBidi"/>
                      <w:sz w:val="24"/>
                    </w:rPr>
                  </w:pPr>
                  <w:r w:rsidRPr="00E62891">
                    <w:rPr>
                      <w:rFonts w:asciiTheme="majorBidi" w:hAnsiTheme="majorBidi" w:cstheme="majorBidi"/>
                      <w:sz w:val="24"/>
                    </w:rPr>
                    <w:t>Email:</w:t>
                  </w:r>
                </w:p>
              </w:tc>
              <w:tc>
                <w:tcPr>
                  <w:tcW w:w="5625" w:type="dxa"/>
                  <w:vAlign w:val="center"/>
                </w:tcPr>
                <w:p w:rsidR="00156E51" w:rsidRPr="0091236A" w:rsidRDefault="009D78A9" w:rsidP="00153F06">
                  <w:pPr>
                    <w:framePr w:hSpace="180" w:wrap="around" w:vAnchor="text" w:hAnchor="margin" w:y="2646"/>
                    <w:rPr>
                      <w:rFonts w:asciiTheme="majorBidi" w:hAnsiTheme="majorBidi" w:cstheme="majorBidi"/>
                      <w:sz w:val="24"/>
                    </w:rPr>
                  </w:pPr>
                  <w:r w:rsidRPr="009D78A9">
                    <w:rPr>
                      <w:rFonts w:asciiTheme="majorBidi" w:hAnsiTheme="majorBidi" w:cstheme="majorBidi"/>
                      <w:sz w:val="24"/>
                    </w:rPr>
                    <w:t>sfda.sa.met@philips.com</w:t>
                  </w:r>
                </w:p>
              </w:tc>
            </w:tr>
          </w:tbl>
          <w:p w:rsidR="00156E51" w:rsidRPr="00E62891" w:rsidRDefault="00156E51" w:rsidP="009055DE">
            <w:pPr>
              <w:tabs>
                <w:tab w:val="right" w:pos="5184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3189F" w:rsidRPr="00156E51" w:rsidRDefault="0013189F" w:rsidP="00BE5EE4">
      <w:pPr>
        <w:pStyle w:val="Title"/>
        <w:bidi/>
        <w:jc w:val="both"/>
        <w:rPr>
          <w:rFonts w:asciiTheme="majorBidi" w:hAnsiTheme="majorBidi" w:cstheme="majorBidi"/>
          <w:sz w:val="24"/>
        </w:rPr>
      </w:pPr>
    </w:p>
    <w:p w:rsidR="0013189F" w:rsidRPr="00965A76" w:rsidRDefault="0013189F" w:rsidP="0013189F">
      <w:pPr>
        <w:rPr>
          <w:rFonts w:asciiTheme="majorBidi" w:hAnsiTheme="majorBidi" w:cstheme="majorBidi"/>
        </w:rPr>
      </w:pPr>
    </w:p>
    <w:p w:rsidR="0013189F" w:rsidRPr="00965A76" w:rsidRDefault="0013189F" w:rsidP="0013189F">
      <w:pPr>
        <w:rPr>
          <w:rFonts w:asciiTheme="majorBidi" w:hAnsiTheme="majorBidi" w:cstheme="majorBidi"/>
        </w:rPr>
      </w:pPr>
    </w:p>
    <w:p w:rsidR="0013189F" w:rsidRPr="00965A76" w:rsidRDefault="0013189F" w:rsidP="00873051">
      <w:pPr>
        <w:tabs>
          <w:tab w:val="left" w:pos="9360"/>
        </w:tabs>
        <w:rPr>
          <w:rFonts w:asciiTheme="majorBidi" w:hAnsiTheme="majorBidi" w:cstheme="majorBidi"/>
        </w:rPr>
      </w:pPr>
      <w:r w:rsidRPr="00965A76">
        <w:rPr>
          <w:rFonts w:asciiTheme="majorBidi" w:hAnsiTheme="majorBidi" w:cstheme="majorBidi"/>
        </w:rPr>
        <w:tab/>
      </w:r>
    </w:p>
    <w:p w:rsidR="0013189F" w:rsidRPr="00965A76" w:rsidRDefault="0013189F" w:rsidP="0013189F">
      <w:pPr>
        <w:rPr>
          <w:rFonts w:asciiTheme="majorBidi" w:hAnsiTheme="majorBidi" w:cstheme="majorBidi"/>
        </w:rPr>
      </w:pPr>
    </w:p>
    <w:p w:rsidR="00BE5EE4" w:rsidRPr="00965A76" w:rsidRDefault="00BE5EE4" w:rsidP="0013189F">
      <w:pPr>
        <w:rPr>
          <w:rFonts w:asciiTheme="majorBidi" w:hAnsiTheme="majorBidi" w:cstheme="majorBidi"/>
        </w:rPr>
      </w:pPr>
    </w:p>
    <w:sectPr w:rsidR="00BE5EE4" w:rsidRPr="00965A76" w:rsidSect="0084132B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360" w:right="1080" w:bottom="1080" w:left="1080" w:header="284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B1" w:rsidRDefault="002514B1" w:rsidP="00F8075F">
      <w:r>
        <w:separator/>
      </w:r>
    </w:p>
  </w:endnote>
  <w:endnote w:type="continuationSeparator" w:id="0">
    <w:p w:rsidR="002514B1" w:rsidRDefault="002514B1" w:rsidP="00F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3C7" w:rsidRPr="00C961CB" w:rsidRDefault="006933C7" w:rsidP="00BB6337">
    <w:pPr>
      <w:pStyle w:val="Footer"/>
      <w:rPr>
        <w:rFonts w:asciiTheme="majorBidi" w:hAnsiTheme="majorBidi" w:cstheme="majorBidi"/>
        <w:b/>
        <w:sz w:val="18"/>
        <w:szCs w:val="18"/>
      </w:rPr>
    </w:pPr>
    <w:r w:rsidRPr="004F710E">
      <w:rPr>
        <w:rFonts w:ascii="Times New Roman" w:hAnsi="Times New Roman"/>
      </w:rPr>
      <w:t>SG-</w:t>
    </w:r>
    <w:r>
      <w:rPr>
        <w:rFonts w:ascii="Times New Roman" w:hAnsi="Times New Roman"/>
      </w:rPr>
      <w:t>200</w:t>
    </w:r>
    <w:r w:rsidR="00841BFB">
      <w:rPr>
        <w:rFonts w:ascii="Times New Roman" w:hAnsi="Times New Roman"/>
      </w:rPr>
      <w:t>3</w:t>
    </w:r>
    <w:r w:rsidRPr="004F710E">
      <w:rPr>
        <w:rFonts w:ascii="Times New Roman" w:hAnsi="Times New Roman"/>
      </w:rPr>
      <w:t>-</w:t>
    </w:r>
    <w:r w:rsidR="00595AB7">
      <w:rPr>
        <w:rFonts w:ascii="Times New Roman" w:hAnsi="Times New Roman"/>
      </w:rPr>
      <w:t>20</w:t>
    </w:r>
    <w:r w:rsidR="00BB6337">
      <w:rPr>
        <w:rFonts w:ascii="Times New Roman" w:hAnsi="Times New Roman"/>
      </w:rPr>
      <w:t>9</w:t>
    </w:r>
    <w:r w:rsidRPr="004F710E">
      <w:rPr>
        <w:rFonts w:ascii="Times New Roman" w:hAnsi="Times New Roman"/>
      </w:rPr>
      <w:t>-H</w:t>
    </w: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</w:t>
    </w:r>
    <w:r w:rsidR="00BB6337">
      <w:rPr>
        <w:rFonts w:ascii="Times New Roman" w:hAnsi="Times New Roman"/>
      </w:rPr>
      <w:t>31</w:t>
    </w:r>
    <w:r>
      <w:rPr>
        <w:rFonts w:ascii="Times New Roman" w:hAnsi="Times New Roman"/>
      </w:rPr>
      <w:t>/0</w:t>
    </w:r>
    <w:r w:rsidR="00841BFB">
      <w:rPr>
        <w:rFonts w:ascii="Times New Roman" w:hAnsi="Times New Roman"/>
      </w:rPr>
      <w:t>3</w:t>
    </w:r>
    <w:r>
      <w:rPr>
        <w:rFonts w:ascii="Times New Roman" w:hAnsi="Times New Roman"/>
      </w:rPr>
      <w:t>/2020</w:t>
    </w:r>
    <w:r w:rsidRPr="00C961CB">
      <w:rPr>
        <w:rFonts w:asciiTheme="majorBidi" w:hAnsiTheme="majorBidi" w:cstheme="majorBidi"/>
        <w:b/>
        <w:szCs w:val="20"/>
        <w:rtl/>
      </w:rPr>
      <w:t xml:space="preserve"> </w:t>
    </w:r>
    <w:r w:rsidRPr="0084132B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 </w:t>
    </w:r>
    <w:r w:rsidRPr="0084132B">
      <w:rPr>
        <w:rFonts w:ascii="Times New Roman" w:hAnsi="Times New Roman"/>
      </w:rPr>
      <w:t xml:space="preserve">         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B1" w:rsidRDefault="002514B1" w:rsidP="00F8075F">
      <w:r>
        <w:separator/>
      </w:r>
    </w:p>
  </w:footnote>
  <w:footnote w:type="continuationSeparator" w:id="0">
    <w:p w:rsidR="002514B1" w:rsidRDefault="002514B1" w:rsidP="00F8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3C7" w:rsidRDefault="00153F06">
    <w:pPr>
      <w:pStyle w:val="Header"/>
    </w:pPr>
    <w:r>
      <w:rPr>
        <w:noProof/>
      </w:rPr>
      <w:pict w14:anchorId="47638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7" o:spid="_x0000_s2050" type="#_x0000_t75" style="position:absolute;margin-left:0;margin-top:0;width:279pt;height:225pt;z-index:-251658752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3C7" w:rsidRDefault="006933C7" w:rsidP="00482F53">
    <w:pPr>
      <w:pStyle w:val="Header"/>
      <w:tabs>
        <w:tab w:val="clear" w:pos="4320"/>
        <w:tab w:val="clear" w:pos="8640"/>
        <w:tab w:val="left" w:pos="79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86EF7C" wp14:editId="409E4B07">
              <wp:simplePos x="0" y="0"/>
              <wp:positionH relativeFrom="column">
                <wp:posOffset>4448175</wp:posOffset>
              </wp:positionH>
              <wp:positionV relativeFrom="paragraph">
                <wp:posOffset>268605</wp:posOffset>
              </wp:positionV>
              <wp:extent cx="252730" cy="474345"/>
              <wp:effectExtent l="0" t="1905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73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3C7" w:rsidRDefault="006933C7" w:rsidP="002C0F4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6EF7C" id="Rectangle 5" o:spid="_x0000_s1026" style="position:absolute;margin-left:350.25pt;margin-top:21.15pt;width:19.9pt;height:37.3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" filled="f" stroked="f">
              <v:textbox>
                <w:txbxContent>
                  <w:p w:rsidR="006933C7" w:rsidRDefault="006933C7" w:rsidP="002C0F43"/>
                </w:txbxContent>
              </v:textbox>
            </v:rect>
          </w:pict>
        </mc:Fallback>
      </mc:AlternateContent>
    </w:r>
    <w:r w:rsidR="00153F06">
      <w:rPr>
        <w:noProof/>
      </w:rPr>
      <w:pict w14:anchorId="13B12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8" o:spid="_x0000_s2051" type="#_x0000_t75" style="position:absolute;margin-left:0;margin-top:0;width:279pt;height:225pt;z-index:-251657728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3C7" w:rsidRDefault="00153F06">
    <w:pPr>
      <w:pStyle w:val="Header"/>
    </w:pPr>
    <w:r>
      <w:rPr>
        <w:noProof/>
      </w:rPr>
      <w:pict w14:anchorId="0DA65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6" o:spid="_x0000_s2049" type="#_x0000_t75" style="position:absolute;margin-left:0;margin-top:0;width:279pt;height:225pt;z-index:-251659776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A40"/>
    <w:multiLevelType w:val="hybridMultilevel"/>
    <w:tmpl w:val="D5A6EA20"/>
    <w:lvl w:ilvl="0" w:tplc="BCB01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03"/>
    <w:multiLevelType w:val="hybridMultilevel"/>
    <w:tmpl w:val="5750F3E6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E6535F3"/>
    <w:multiLevelType w:val="hybridMultilevel"/>
    <w:tmpl w:val="EE2EE874"/>
    <w:lvl w:ilvl="0" w:tplc="41164AB8">
      <w:start w:val="950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AA33C8"/>
    <w:multiLevelType w:val="hybridMultilevel"/>
    <w:tmpl w:val="81CAC4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2163480"/>
    <w:multiLevelType w:val="hybridMultilevel"/>
    <w:tmpl w:val="949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3E5F"/>
    <w:multiLevelType w:val="hybridMultilevel"/>
    <w:tmpl w:val="E8AE2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6CC1"/>
    <w:multiLevelType w:val="hybridMultilevel"/>
    <w:tmpl w:val="E0D01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45CF"/>
    <w:multiLevelType w:val="hybridMultilevel"/>
    <w:tmpl w:val="9BC2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2190"/>
    <w:multiLevelType w:val="hybridMultilevel"/>
    <w:tmpl w:val="9CF6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B4F09"/>
    <w:multiLevelType w:val="hybridMultilevel"/>
    <w:tmpl w:val="9A3EE24C"/>
    <w:lvl w:ilvl="0" w:tplc="418AA5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C7DE7"/>
    <w:multiLevelType w:val="hybridMultilevel"/>
    <w:tmpl w:val="B3FE94B2"/>
    <w:lvl w:ilvl="0" w:tplc="10BAF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3808"/>
    <w:multiLevelType w:val="hybridMultilevel"/>
    <w:tmpl w:val="96B4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35C1"/>
    <w:multiLevelType w:val="hybridMultilevel"/>
    <w:tmpl w:val="4978FA5A"/>
    <w:lvl w:ilvl="0" w:tplc="2F4A8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1501A"/>
    <w:multiLevelType w:val="hybridMultilevel"/>
    <w:tmpl w:val="650A937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C155888"/>
    <w:multiLevelType w:val="hybridMultilevel"/>
    <w:tmpl w:val="2592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F3A9A"/>
    <w:multiLevelType w:val="hybridMultilevel"/>
    <w:tmpl w:val="EC4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C6BFB"/>
    <w:multiLevelType w:val="multilevel"/>
    <w:tmpl w:val="82B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214D0"/>
    <w:multiLevelType w:val="hybridMultilevel"/>
    <w:tmpl w:val="5EBE0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8"/>
  </w:num>
  <w:num w:numId="5">
    <w:abstractNumId w:val="12"/>
  </w:num>
  <w:num w:numId="6">
    <w:abstractNumId w:val="17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43"/>
    <w:rsid w:val="000036D2"/>
    <w:rsid w:val="00004286"/>
    <w:rsid w:val="000072AF"/>
    <w:rsid w:val="00012F87"/>
    <w:rsid w:val="0001462D"/>
    <w:rsid w:val="00017D50"/>
    <w:rsid w:val="00020DBF"/>
    <w:rsid w:val="00021574"/>
    <w:rsid w:val="00027D45"/>
    <w:rsid w:val="00036401"/>
    <w:rsid w:val="0004539F"/>
    <w:rsid w:val="00046198"/>
    <w:rsid w:val="00052616"/>
    <w:rsid w:val="00056A38"/>
    <w:rsid w:val="00062FAD"/>
    <w:rsid w:val="00072817"/>
    <w:rsid w:val="00073D72"/>
    <w:rsid w:val="00076FB0"/>
    <w:rsid w:val="000773F8"/>
    <w:rsid w:val="0008603E"/>
    <w:rsid w:val="0008664F"/>
    <w:rsid w:val="000907DF"/>
    <w:rsid w:val="000A0216"/>
    <w:rsid w:val="000A07B8"/>
    <w:rsid w:val="000A3DE1"/>
    <w:rsid w:val="000B22A9"/>
    <w:rsid w:val="000C0253"/>
    <w:rsid w:val="000C237C"/>
    <w:rsid w:val="000C4974"/>
    <w:rsid w:val="000C5160"/>
    <w:rsid w:val="000D095A"/>
    <w:rsid w:val="000D1C2F"/>
    <w:rsid w:val="000D4101"/>
    <w:rsid w:val="000E1089"/>
    <w:rsid w:val="000E2028"/>
    <w:rsid w:val="000F1BEB"/>
    <w:rsid w:val="000F307F"/>
    <w:rsid w:val="000F46C9"/>
    <w:rsid w:val="000F55A3"/>
    <w:rsid w:val="00103616"/>
    <w:rsid w:val="00112365"/>
    <w:rsid w:val="001139B4"/>
    <w:rsid w:val="001159CF"/>
    <w:rsid w:val="00123B70"/>
    <w:rsid w:val="0013189F"/>
    <w:rsid w:val="001372BF"/>
    <w:rsid w:val="00137D1E"/>
    <w:rsid w:val="00145A7C"/>
    <w:rsid w:val="00153F06"/>
    <w:rsid w:val="00154637"/>
    <w:rsid w:val="00155EC7"/>
    <w:rsid w:val="00156E51"/>
    <w:rsid w:val="00163032"/>
    <w:rsid w:val="00163291"/>
    <w:rsid w:val="00167172"/>
    <w:rsid w:val="001768B8"/>
    <w:rsid w:val="00182391"/>
    <w:rsid w:val="00183C12"/>
    <w:rsid w:val="00185CD0"/>
    <w:rsid w:val="00187E03"/>
    <w:rsid w:val="0019092B"/>
    <w:rsid w:val="00191B24"/>
    <w:rsid w:val="00192D33"/>
    <w:rsid w:val="001A35D8"/>
    <w:rsid w:val="001A5C37"/>
    <w:rsid w:val="001B255A"/>
    <w:rsid w:val="001B4A49"/>
    <w:rsid w:val="001C0C7E"/>
    <w:rsid w:val="001C4BF5"/>
    <w:rsid w:val="001D222E"/>
    <w:rsid w:val="001D5864"/>
    <w:rsid w:val="001D6C39"/>
    <w:rsid w:val="001E267D"/>
    <w:rsid w:val="001F0743"/>
    <w:rsid w:val="00204580"/>
    <w:rsid w:val="002103F7"/>
    <w:rsid w:val="00215FB1"/>
    <w:rsid w:val="00222210"/>
    <w:rsid w:val="00222B53"/>
    <w:rsid w:val="00223619"/>
    <w:rsid w:val="00224A69"/>
    <w:rsid w:val="00231F69"/>
    <w:rsid w:val="00234937"/>
    <w:rsid w:val="00241583"/>
    <w:rsid w:val="00241F96"/>
    <w:rsid w:val="00242F0A"/>
    <w:rsid w:val="002475C3"/>
    <w:rsid w:val="002514B1"/>
    <w:rsid w:val="0026057C"/>
    <w:rsid w:val="00260EA6"/>
    <w:rsid w:val="00272B56"/>
    <w:rsid w:val="00273EBA"/>
    <w:rsid w:val="00281210"/>
    <w:rsid w:val="00291727"/>
    <w:rsid w:val="002A06A5"/>
    <w:rsid w:val="002A3504"/>
    <w:rsid w:val="002B2F43"/>
    <w:rsid w:val="002B7895"/>
    <w:rsid w:val="002C0A2E"/>
    <w:rsid w:val="002C0F43"/>
    <w:rsid w:val="002D2144"/>
    <w:rsid w:val="002E08BD"/>
    <w:rsid w:val="002E23DC"/>
    <w:rsid w:val="002E3F6C"/>
    <w:rsid w:val="002E58E9"/>
    <w:rsid w:val="002E6B2C"/>
    <w:rsid w:val="002F2030"/>
    <w:rsid w:val="003037C0"/>
    <w:rsid w:val="003058EC"/>
    <w:rsid w:val="00313078"/>
    <w:rsid w:val="00314006"/>
    <w:rsid w:val="00314D18"/>
    <w:rsid w:val="00323EBC"/>
    <w:rsid w:val="00330827"/>
    <w:rsid w:val="00332C61"/>
    <w:rsid w:val="0035453C"/>
    <w:rsid w:val="00366270"/>
    <w:rsid w:val="00367CC9"/>
    <w:rsid w:val="00370CE4"/>
    <w:rsid w:val="00380935"/>
    <w:rsid w:val="00385933"/>
    <w:rsid w:val="00386AC8"/>
    <w:rsid w:val="003905E5"/>
    <w:rsid w:val="003918C1"/>
    <w:rsid w:val="00396836"/>
    <w:rsid w:val="00397431"/>
    <w:rsid w:val="00397E4A"/>
    <w:rsid w:val="00397EA0"/>
    <w:rsid w:val="003A0362"/>
    <w:rsid w:val="003B307E"/>
    <w:rsid w:val="003C18DF"/>
    <w:rsid w:val="003C1E3E"/>
    <w:rsid w:val="003C4D56"/>
    <w:rsid w:val="003E1265"/>
    <w:rsid w:val="003F0FF6"/>
    <w:rsid w:val="003F3937"/>
    <w:rsid w:val="003F4518"/>
    <w:rsid w:val="003F4E4D"/>
    <w:rsid w:val="00402F2E"/>
    <w:rsid w:val="004063FF"/>
    <w:rsid w:val="0040781C"/>
    <w:rsid w:val="0041130F"/>
    <w:rsid w:val="004178B1"/>
    <w:rsid w:val="004251CE"/>
    <w:rsid w:val="00434C6A"/>
    <w:rsid w:val="00434EF0"/>
    <w:rsid w:val="004373D9"/>
    <w:rsid w:val="004456AC"/>
    <w:rsid w:val="004456DD"/>
    <w:rsid w:val="00447D74"/>
    <w:rsid w:val="00450D1F"/>
    <w:rsid w:val="004513CB"/>
    <w:rsid w:val="00451F2F"/>
    <w:rsid w:val="00454311"/>
    <w:rsid w:val="00454792"/>
    <w:rsid w:val="00456D6B"/>
    <w:rsid w:val="00460125"/>
    <w:rsid w:val="00465C08"/>
    <w:rsid w:val="00466716"/>
    <w:rsid w:val="00471C44"/>
    <w:rsid w:val="00473313"/>
    <w:rsid w:val="0047749B"/>
    <w:rsid w:val="00477AD1"/>
    <w:rsid w:val="0048198E"/>
    <w:rsid w:val="00482F53"/>
    <w:rsid w:val="004908AA"/>
    <w:rsid w:val="00493129"/>
    <w:rsid w:val="00494E8A"/>
    <w:rsid w:val="004A05D3"/>
    <w:rsid w:val="004A4C0D"/>
    <w:rsid w:val="004A6EED"/>
    <w:rsid w:val="004B103B"/>
    <w:rsid w:val="004B1165"/>
    <w:rsid w:val="004C29F4"/>
    <w:rsid w:val="004C39AF"/>
    <w:rsid w:val="004D2630"/>
    <w:rsid w:val="004D7E67"/>
    <w:rsid w:val="004F710E"/>
    <w:rsid w:val="00513D9C"/>
    <w:rsid w:val="005141CA"/>
    <w:rsid w:val="00520252"/>
    <w:rsid w:val="005220AC"/>
    <w:rsid w:val="00536DC7"/>
    <w:rsid w:val="005371A7"/>
    <w:rsid w:val="00540476"/>
    <w:rsid w:val="005429C3"/>
    <w:rsid w:val="00551A4F"/>
    <w:rsid w:val="005563AB"/>
    <w:rsid w:val="00557593"/>
    <w:rsid w:val="00564CB9"/>
    <w:rsid w:val="00567018"/>
    <w:rsid w:val="005714BB"/>
    <w:rsid w:val="005737E8"/>
    <w:rsid w:val="00580DEB"/>
    <w:rsid w:val="00582106"/>
    <w:rsid w:val="00582F4A"/>
    <w:rsid w:val="00583326"/>
    <w:rsid w:val="0058603A"/>
    <w:rsid w:val="00586374"/>
    <w:rsid w:val="00593A6F"/>
    <w:rsid w:val="00595AB7"/>
    <w:rsid w:val="005A252C"/>
    <w:rsid w:val="005A7C0C"/>
    <w:rsid w:val="005B14CB"/>
    <w:rsid w:val="005C2786"/>
    <w:rsid w:val="005D2176"/>
    <w:rsid w:val="005D2976"/>
    <w:rsid w:val="005D5623"/>
    <w:rsid w:val="005E1256"/>
    <w:rsid w:val="005E3B2C"/>
    <w:rsid w:val="005E5D46"/>
    <w:rsid w:val="005E62F4"/>
    <w:rsid w:val="005F4229"/>
    <w:rsid w:val="00603A88"/>
    <w:rsid w:val="00606C6D"/>
    <w:rsid w:val="00611403"/>
    <w:rsid w:val="0061212D"/>
    <w:rsid w:val="00614C14"/>
    <w:rsid w:val="0063680E"/>
    <w:rsid w:val="00636AEF"/>
    <w:rsid w:val="0064288B"/>
    <w:rsid w:val="00651685"/>
    <w:rsid w:val="0067255C"/>
    <w:rsid w:val="00672F06"/>
    <w:rsid w:val="00685EB4"/>
    <w:rsid w:val="006919B4"/>
    <w:rsid w:val="006933C7"/>
    <w:rsid w:val="006A4277"/>
    <w:rsid w:val="006A42CE"/>
    <w:rsid w:val="006B1F51"/>
    <w:rsid w:val="006B2F1E"/>
    <w:rsid w:val="006B4579"/>
    <w:rsid w:val="006B5C85"/>
    <w:rsid w:val="006B72C8"/>
    <w:rsid w:val="006C1C21"/>
    <w:rsid w:val="006C6067"/>
    <w:rsid w:val="006C7E1F"/>
    <w:rsid w:val="006D188F"/>
    <w:rsid w:val="006D46FF"/>
    <w:rsid w:val="006D7F5C"/>
    <w:rsid w:val="006E223F"/>
    <w:rsid w:val="006E6138"/>
    <w:rsid w:val="006F0B51"/>
    <w:rsid w:val="006F2C6C"/>
    <w:rsid w:val="006F39DA"/>
    <w:rsid w:val="006F4603"/>
    <w:rsid w:val="006F75A4"/>
    <w:rsid w:val="00702A43"/>
    <w:rsid w:val="007046DE"/>
    <w:rsid w:val="00710408"/>
    <w:rsid w:val="0071681C"/>
    <w:rsid w:val="007174BB"/>
    <w:rsid w:val="00731ACC"/>
    <w:rsid w:val="00731F80"/>
    <w:rsid w:val="00732951"/>
    <w:rsid w:val="00745382"/>
    <w:rsid w:val="007456D1"/>
    <w:rsid w:val="00751873"/>
    <w:rsid w:val="00752AFF"/>
    <w:rsid w:val="00753EAA"/>
    <w:rsid w:val="00763BCC"/>
    <w:rsid w:val="00775B76"/>
    <w:rsid w:val="007A264E"/>
    <w:rsid w:val="007A4152"/>
    <w:rsid w:val="007A50C0"/>
    <w:rsid w:val="007A7123"/>
    <w:rsid w:val="007A7B53"/>
    <w:rsid w:val="007C645B"/>
    <w:rsid w:val="007D039E"/>
    <w:rsid w:val="007E3A72"/>
    <w:rsid w:val="007E6B6D"/>
    <w:rsid w:val="007F33DF"/>
    <w:rsid w:val="008215FF"/>
    <w:rsid w:val="008221D6"/>
    <w:rsid w:val="008266FE"/>
    <w:rsid w:val="00830419"/>
    <w:rsid w:val="00832A78"/>
    <w:rsid w:val="0084132B"/>
    <w:rsid w:val="00841BFB"/>
    <w:rsid w:val="00843117"/>
    <w:rsid w:val="00851DD4"/>
    <w:rsid w:val="00857368"/>
    <w:rsid w:val="008600B7"/>
    <w:rsid w:val="00863665"/>
    <w:rsid w:val="00864155"/>
    <w:rsid w:val="00866830"/>
    <w:rsid w:val="00873051"/>
    <w:rsid w:val="00873CEE"/>
    <w:rsid w:val="008745B1"/>
    <w:rsid w:val="00876745"/>
    <w:rsid w:val="0088141A"/>
    <w:rsid w:val="0088264E"/>
    <w:rsid w:val="008845A9"/>
    <w:rsid w:val="00885CE7"/>
    <w:rsid w:val="00891DB6"/>
    <w:rsid w:val="008925FA"/>
    <w:rsid w:val="00896D2E"/>
    <w:rsid w:val="008B141E"/>
    <w:rsid w:val="008B1FF9"/>
    <w:rsid w:val="008B2B16"/>
    <w:rsid w:val="008B3214"/>
    <w:rsid w:val="0090162D"/>
    <w:rsid w:val="009052F2"/>
    <w:rsid w:val="0091236A"/>
    <w:rsid w:val="009236E2"/>
    <w:rsid w:val="00924229"/>
    <w:rsid w:val="0092471E"/>
    <w:rsid w:val="00926EE3"/>
    <w:rsid w:val="00932C8C"/>
    <w:rsid w:val="00935261"/>
    <w:rsid w:val="00941298"/>
    <w:rsid w:val="00952BF6"/>
    <w:rsid w:val="009578D8"/>
    <w:rsid w:val="00965A76"/>
    <w:rsid w:val="00966017"/>
    <w:rsid w:val="00975E1E"/>
    <w:rsid w:val="0098275D"/>
    <w:rsid w:val="00982D3D"/>
    <w:rsid w:val="00992966"/>
    <w:rsid w:val="00995987"/>
    <w:rsid w:val="009A7CA0"/>
    <w:rsid w:val="009C0F04"/>
    <w:rsid w:val="009D25F5"/>
    <w:rsid w:val="009D3B75"/>
    <w:rsid w:val="009D78A9"/>
    <w:rsid w:val="009E34A7"/>
    <w:rsid w:val="009E654B"/>
    <w:rsid w:val="009E6604"/>
    <w:rsid w:val="009F425C"/>
    <w:rsid w:val="009F5FF1"/>
    <w:rsid w:val="009F6C43"/>
    <w:rsid w:val="00A0102B"/>
    <w:rsid w:val="00A012D3"/>
    <w:rsid w:val="00A05360"/>
    <w:rsid w:val="00A05F97"/>
    <w:rsid w:val="00A06BBF"/>
    <w:rsid w:val="00A10F93"/>
    <w:rsid w:val="00A20BFC"/>
    <w:rsid w:val="00A222B8"/>
    <w:rsid w:val="00A22D26"/>
    <w:rsid w:val="00A237E8"/>
    <w:rsid w:val="00A25B69"/>
    <w:rsid w:val="00A27456"/>
    <w:rsid w:val="00A361A7"/>
    <w:rsid w:val="00A37D25"/>
    <w:rsid w:val="00A40ACA"/>
    <w:rsid w:val="00A42F86"/>
    <w:rsid w:val="00A43154"/>
    <w:rsid w:val="00A45171"/>
    <w:rsid w:val="00A453DA"/>
    <w:rsid w:val="00A45BFA"/>
    <w:rsid w:val="00A665E5"/>
    <w:rsid w:val="00A7060A"/>
    <w:rsid w:val="00A82B26"/>
    <w:rsid w:val="00A8471A"/>
    <w:rsid w:val="00A8568A"/>
    <w:rsid w:val="00A96C2F"/>
    <w:rsid w:val="00A97CAC"/>
    <w:rsid w:val="00AA6474"/>
    <w:rsid w:val="00AC05C4"/>
    <w:rsid w:val="00AC243B"/>
    <w:rsid w:val="00AD185F"/>
    <w:rsid w:val="00AD6830"/>
    <w:rsid w:val="00AE1C43"/>
    <w:rsid w:val="00AE296F"/>
    <w:rsid w:val="00AE7B84"/>
    <w:rsid w:val="00AF66EB"/>
    <w:rsid w:val="00B0042B"/>
    <w:rsid w:val="00B05955"/>
    <w:rsid w:val="00B05B39"/>
    <w:rsid w:val="00B05DAC"/>
    <w:rsid w:val="00B1229F"/>
    <w:rsid w:val="00B20EF5"/>
    <w:rsid w:val="00B21275"/>
    <w:rsid w:val="00B3167A"/>
    <w:rsid w:val="00B33A1D"/>
    <w:rsid w:val="00B473B4"/>
    <w:rsid w:val="00B47440"/>
    <w:rsid w:val="00B54895"/>
    <w:rsid w:val="00B57377"/>
    <w:rsid w:val="00B64C2E"/>
    <w:rsid w:val="00B736CE"/>
    <w:rsid w:val="00B862D6"/>
    <w:rsid w:val="00B90AE2"/>
    <w:rsid w:val="00BA08D8"/>
    <w:rsid w:val="00BA51C7"/>
    <w:rsid w:val="00BB6337"/>
    <w:rsid w:val="00BB7EB6"/>
    <w:rsid w:val="00BC46BC"/>
    <w:rsid w:val="00BC55F6"/>
    <w:rsid w:val="00BC6382"/>
    <w:rsid w:val="00BD169D"/>
    <w:rsid w:val="00BE0F9A"/>
    <w:rsid w:val="00BE5EE4"/>
    <w:rsid w:val="00BE69EE"/>
    <w:rsid w:val="00BF3611"/>
    <w:rsid w:val="00BF4D2B"/>
    <w:rsid w:val="00C00EBA"/>
    <w:rsid w:val="00C06778"/>
    <w:rsid w:val="00C07FAE"/>
    <w:rsid w:val="00C10E26"/>
    <w:rsid w:val="00C112BC"/>
    <w:rsid w:val="00C20FD2"/>
    <w:rsid w:val="00C34585"/>
    <w:rsid w:val="00C40E48"/>
    <w:rsid w:val="00C4170D"/>
    <w:rsid w:val="00C5088D"/>
    <w:rsid w:val="00C53698"/>
    <w:rsid w:val="00C63AD1"/>
    <w:rsid w:val="00C652E8"/>
    <w:rsid w:val="00C732A9"/>
    <w:rsid w:val="00C75A64"/>
    <w:rsid w:val="00C75BCF"/>
    <w:rsid w:val="00C760BA"/>
    <w:rsid w:val="00C81021"/>
    <w:rsid w:val="00C847D8"/>
    <w:rsid w:val="00C91CEE"/>
    <w:rsid w:val="00C92804"/>
    <w:rsid w:val="00C961CB"/>
    <w:rsid w:val="00CA3E2E"/>
    <w:rsid w:val="00CA6EA6"/>
    <w:rsid w:val="00CB428E"/>
    <w:rsid w:val="00CD0FAB"/>
    <w:rsid w:val="00CD440E"/>
    <w:rsid w:val="00CD47D1"/>
    <w:rsid w:val="00CD69FF"/>
    <w:rsid w:val="00CE01FF"/>
    <w:rsid w:val="00CE12CE"/>
    <w:rsid w:val="00CE1BC2"/>
    <w:rsid w:val="00CF7240"/>
    <w:rsid w:val="00D00565"/>
    <w:rsid w:val="00D069D7"/>
    <w:rsid w:val="00D12A14"/>
    <w:rsid w:val="00D20839"/>
    <w:rsid w:val="00D22C1C"/>
    <w:rsid w:val="00D268A5"/>
    <w:rsid w:val="00D35FAC"/>
    <w:rsid w:val="00D37072"/>
    <w:rsid w:val="00D452CF"/>
    <w:rsid w:val="00D5360B"/>
    <w:rsid w:val="00D55C39"/>
    <w:rsid w:val="00D5789E"/>
    <w:rsid w:val="00D77370"/>
    <w:rsid w:val="00D80AFC"/>
    <w:rsid w:val="00D868B9"/>
    <w:rsid w:val="00D87DE6"/>
    <w:rsid w:val="00D912CD"/>
    <w:rsid w:val="00D92E9E"/>
    <w:rsid w:val="00D9606B"/>
    <w:rsid w:val="00D9727A"/>
    <w:rsid w:val="00DB27C4"/>
    <w:rsid w:val="00DB5F04"/>
    <w:rsid w:val="00DB7C15"/>
    <w:rsid w:val="00DC78A5"/>
    <w:rsid w:val="00DD01CB"/>
    <w:rsid w:val="00DD47AF"/>
    <w:rsid w:val="00DD7624"/>
    <w:rsid w:val="00DF0840"/>
    <w:rsid w:val="00DF2B82"/>
    <w:rsid w:val="00DF6E41"/>
    <w:rsid w:val="00E02E1F"/>
    <w:rsid w:val="00E038DF"/>
    <w:rsid w:val="00E04603"/>
    <w:rsid w:val="00E10CAF"/>
    <w:rsid w:val="00E115E2"/>
    <w:rsid w:val="00E13656"/>
    <w:rsid w:val="00E2149C"/>
    <w:rsid w:val="00E31D5D"/>
    <w:rsid w:val="00E32BF1"/>
    <w:rsid w:val="00E34254"/>
    <w:rsid w:val="00E35904"/>
    <w:rsid w:val="00E41BFA"/>
    <w:rsid w:val="00E4750D"/>
    <w:rsid w:val="00E50795"/>
    <w:rsid w:val="00E55002"/>
    <w:rsid w:val="00E7071B"/>
    <w:rsid w:val="00E7243F"/>
    <w:rsid w:val="00E749F9"/>
    <w:rsid w:val="00E757A8"/>
    <w:rsid w:val="00E761C8"/>
    <w:rsid w:val="00E83DA3"/>
    <w:rsid w:val="00E90937"/>
    <w:rsid w:val="00E95A05"/>
    <w:rsid w:val="00E96158"/>
    <w:rsid w:val="00EA29CD"/>
    <w:rsid w:val="00EA6175"/>
    <w:rsid w:val="00EC69A2"/>
    <w:rsid w:val="00EC6EBB"/>
    <w:rsid w:val="00ED1446"/>
    <w:rsid w:val="00ED5314"/>
    <w:rsid w:val="00ED5387"/>
    <w:rsid w:val="00ED5ABC"/>
    <w:rsid w:val="00ED7832"/>
    <w:rsid w:val="00ED7E99"/>
    <w:rsid w:val="00EE2C38"/>
    <w:rsid w:val="00EE4765"/>
    <w:rsid w:val="00EE63EE"/>
    <w:rsid w:val="00EF3382"/>
    <w:rsid w:val="00EF4849"/>
    <w:rsid w:val="00EF7E66"/>
    <w:rsid w:val="00F00151"/>
    <w:rsid w:val="00F008DE"/>
    <w:rsid w:val="00F06D42"/>
    <w:rsid w:val="00F07177"/>
    <w:rsid w:val="00F10831"/>
    <w:rsid w:val="00F24594"/>
    <w:rsid w:val="00F26D0F"/>
    <w:rsid w:val="00F27C46"/>
    <w:rsid w:val="00F34C37"/>
    <w:rsid w:val="00F37A12"/>
    <w:rsid w:val="00F40417"/>
    <w:rsid w:val="00F43185"/>
    <w:rsid w:val="00F44B16"/>
    <w:rsid w:val="00F45D0A"/>
    <w:rsid w:val="00F46537"/>
    <w:rsid w:val="00F46C8F"/>
    <w:rsid w:val="00F53DEC"/>
    <w:rsid w:val="00F557EB"/>
    <w:rsid w:val="00F64DC5"/>
    <w:rsid w:val="00F8075F"/>
    <w:rsid w:val="00F83CDF"/>
    <w:rsid w:val="00F84752"/>
    <w:rsid w:val="00F85448"/>
    <w:rsid w:val="00F9040F"/>
    <w:rsid w:val="00F94928"/>
    <w:rsid w:val="00F951BB"/>
    <w:rsid w:val="00F978F1"/>
    <w:rsid w:val="00FA558A"/>
    <w:rsid w:val="00FB0A7F"/>
    <w:rsid w:val="00FB2014"/>
    <w:rsid w:val="00FC1E17"/>
    <w:rsid w:val="00FC5F46"/>
    <w:rsid w:val="00FD104B"/>
    <w:rsid w:val="00FD131F"/>
    <w:rsid w:val="00FD4631"/>
    <w:rsid w:val="00FD722A"/>
    <w:rsid w:val="00FD7D6B"/>
    <w:rsid w:val="00FE197E"/>
    <w:rsid w:val="00FE4BDF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EF57952-EE12-4539-9333-7B1A685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5A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uiPriority w:val="99"/>
    <w:rsid w:val="00F80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5F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F807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5F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907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039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3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039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A6175"/>
  </w:style>
  <w:style w:type="character" w:customStyle="1" w:styleId="TitleChar">
    <w:name w:val="Title Char"/>
    <w:basedOn w:val="DefaultParagraphFont"/>
    <w:link w:val="Title"/>
    <w:rsid w:val="00456D6B"/>
    <w:rPr>
      <w:rFonts w:ascii="Arial Black" w:hAnsi="Arial Black" w:cs="Arial"/>
      <w:color w:val="808080"/>
      <w:sz w:val="56"/>
      <w:szCs w:val="24"/>
    </w:rPr>
  </w:style>
  <w:style w:type="table" w:styleId="TableGrid">
    <w:name w:val="Table Grid"/>
    <w:basedOn w:val="TableNormal"/>
    <w:uiPriority w:val="59"/>
    <w:rsid w:val="00C7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D53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387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5387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387"/>
    <w:rPr>
      <w:rFonts w:ascii="Tahoma" w:hAnsi="Tahoma"/>
      <w:b/>
      <w:bCs/>
    </w:rPr>
  </w:style>
  <w:style w:type="character" w:styleId="FollowedHyperlink">
    <w:name w:val="FollowedHyperlink"/>
    <w:basedOn w:val="DefaultParagraphFont"/>
    <w:semiHidden/>
    <w:unhideWhenUsed/>
    <w:rsid w:val="00397EA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69D7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69D7"/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965A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ade.sfda.gov.sa/Home/Repor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ncmdr.sfda.gov.sa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cmdr.sfda.gov.sa/FileDownLoad.ashx?f=ca&amp;fid=8764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1.xlsx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.aharbi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0C50-D715-43A2-B65F-1353B30A5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FFF2E-02B8-4166-9327-D62390D0A35C}">
  <ds:schemaRefs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purl.org/dc/terms/"/>
    <ds:schemaRef ds:uri="e6d59451-a3d0-4852-8ac5-c2c0147f734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5452069e-6038-4613-bb35-261856e3d5b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61F05B-6692-4D83-883A-E54312CF5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51D5B-3EFB-4E37-A468-8A68CB6A54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517807-EAF1-4F20-8C1D-595D4A8B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76</TotalTime>
  <Pages>3</Pages>
  <Words>490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إصدار وثيقة</vt:lpstr>
    </vt:vector>
  </TitlesOfParts>
  <Company>Microsoft Corporation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إصدار وثيقة</dc:title>
  <dc:creator>hmsalaghor</dc:creator>
  <cp:lastModifiedBy>Fahad M. Al Shagathrh</cp:lastModifiedBy>
  <cp:revision>20</cp:revision>
  <cp:lastPrinted>2020-03-22T09:47:00Z</cp:lastPrinted>
  <dcterms:created xsi:type="dcterms:W3CDTF">2020-03-22T08:47:00Z</dcterms:created>
  <dcterms:modified xsi:type="dcterms:W3CDTF">2020-04-02T10:36:00Z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0x0101001772BAABAF654A70981A50D13C279AFE006078D8BC4E71C845882678BF2F7A99A5</vt:lpwstr>
  </property>
  <property fmtid="{D5CDD505-2E9C-101B-9397-08002B2CF9AE}" pid="4" name="SFDACategory">
    <vt:lpwstr>129;#النماذج|596e14b7-32a0-4361-bfcf-43057c8294f8</vt:lpwstr>
  </property>
</Properties>
</file>